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8F2" w:rsidRDefault="00E418F2" w:rsidP="00E418F2">
      <w:pPr>
        <w:pStyle w:val="Default"/>
        <w:rPr>
          <w:b/>
          <w:bCs/>
          <w:sz w:val="40"/>
          <w:szCs w:val="40"/>
        </w:rPr>
      </w:pPr>
      <w:r>
        <w:rPr>
          <w:b/>
          <w:bCs/>
          <w:sz w:val="40"/>
          <w:szCs w:val="40"/>
        </w:rPr>
        <w:t xml:space="preserve">Fitting Instructions for Automatic Awnings </w:t>
      </w:r>
    </w:p>
    <w:p w:rsidR="00E418F2" w:rsidRDefault="00E418F2" w:rsidP="00E418F2">
      <w:pPr>
        <w:pStyle w:val="Default"/>
        <w:rPr>
          <w:b/>
          <w:bCs/>
          <w:sz w:val="40"/>
          <w:szCs w:val="40"/>
        </w:rPr>
      </w:pPr>
    </w:p>
    <w:p w:rsidR="00E418F2" w:rsidRDefault="00E418F2" w:rsidP="00E418F2">
      <w:pPr>
        <w:pStyle w:val="Default"/>
        <w:rPr>
          <w:sz w:val="23"/>
          <w:szCs w:val="23"/>
        </w:rPr>
      </w:pPr>
      <w:r>
        <w:rPr>
          <w:b/>
          <w:bCs/>
          <w:sz w:val="23"/>
          <w:szCs w:val="23"/>
        </w:rPr>
        <w:t xml:space="preserve">Fitting the Hood Box </w:t>
      </w:r>
    </w:p>
    <w:p w:rsidR="00E418F2" w:rsidRDefault="00E418F2" w:rsidP="00E418F2">
      <w:pPr>
        <w:pStyle w:val="Default"/>
        <w:rPr>
          <w:sz w:val="23"/>
          <w:szCs w:val="23"/>
        </w:rPr>
      </w:pPr>
      <w:r>
        <w:rPr>
          <w:sz w:val="23"/>
          <w:szCs w:val="23"/>
        </w:rPr>
        <w:t xml:space="preserve">Measure the width of the Hood Box then measure the width of the window. The difference between the two is the total amount of over hang your box will have. Divide this number by two to determine how much over hang you will have on each side. </w:t>
      </w:r>
      <w:proofErr w:type="spellStart"/>
      <w:proofErr w:type="gramStart"/>
      <w:r>
        <w:rPr>
          <w:sz w:val="23"/>
          <w:szCs w:val="23"/>
        </w:rPr>
        <w:t>Eg</w:t>
      </w:r>
      <w:proofErr w:type="spellEnd"/>
      <w:r>
        <w:rPr>
          <w:sz w:val="23"/>
          <w:szCs w:val="23"/>
        </w:rPr>
        <w:t>.</w:t>
      </w:r>
      <w:proofErr w:type="gramEnd"/>
      <w:r>
        <w:rPr>
          <w:sz w:val="23"/>
          <w:szCs w:val="23"/>
        </w:rPr>
        <w:t xml:space="preserve"> If the Hood Box measures 2150 and the window measures 2000, the total over hang will be 150mm. </w:t>
      </w:r>
      <w:proofErr w:type="gramStart"/>
      <w:r>
        <w:rPr>
          <w:sz w:val="23"/>
          <w:szCs w:val="23"/>
        </w:rPr>
        <w:t>Dividing</w:t>
      </w:r>
      <w:proofErr w:type="gramEnd"/>
      <w:r>
        <w:rPr>
          <w:sz w:val="23"/>
          <w:szCs w:val="23"/>
        </w:rPr>
        <w:t xml:space="preserve"> by two equals 75mm each side of the window. The attachment point for the screw will be 15mm less than the over</w:t>
      </w:r>
      <w:r>
        <w:rPr>
          <w:sz w:val="23"/>
          <w:szCs w:val="23"/>
        </w:rPr>
        <w:t>-</w:t>
      </w:r>
      <w:r>
        <w:rPr>
          <w:sz w:val="23"/>
          <w:szCs w:val="23"/>
        </w:rPr>
        <w:t xml:space="preserve"> hang, i.e. 60mm. </w:t>
      </w:r>
    </w:p>
    <w:p w:rsidR="00E418F2" w:rsidRDefault="00E418F2" w:rsidP="00E418F2">
      <w:pPr>
        <w:pStyle w:val="Default"/>
        <w:rPr>
          <w:sz w:val="23"/>
          <w:szCs w:val="23"/>
        </w:rPr>
      </w:pPr>
      <w:r>
        <w:rPr>
          <w:noProof/>
          <w:sz w:val="23"/>
          <w:szCs w:val="23"/>
          <w:lang w:eastAsia="en-AU"/>
        </w:rPr>
        <w:drawing>
          <wp:inline distT="0" distB="0" distL="0" distR="0">
            <wp:extent cx="6946900" cy="1764003"/>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46900" cy="1764003"/>
                    </a:xfrm>
                    <a:prstGeom prst="rect">
                      <a:avLst/>
                    </a:prstGeom>
                    <a:noFill/>
                    <a:ln>
                      <a:noFill/>
                    </a:ln>
                  </pic:spPr>
                </pic:pic>
              </a:graphicData>
            </a:graphic>
          </wp:inline>
        </w:drawing>
      </w:r>
    </w:p>
    <w:p w:rsidR="00E418F2" w:rsidRDefault="00E418F2" w:rsidP="00E418F2">
      <w:pPr>
        <w:pStyle w:val="Default"/>
        <w:rPr>
          <w:sz w:val="23"/>
          <w:szCs w:val="23"/>
        </w:rPr>
      </w:pPr>
    </w:p>
    <w:p w:rsidR="00E418F2" w:rsidRDefault="00E418F2" w:rsidP="00E418F2">
      <w:pPr>
        <w:pStyle w:val="Default"/>
        <w:rPr>
          <w:sz w:val="23"/>
          <w:szCs w:val="23"/>
        </w:rPr>
      </w:pPr>
      <w:r>
        <w:rPr>
          <w:sz w:val="23"/>
          <w:szCs w:val="23"/>
        </w:rPr>
        <w:t xml:space="preserve">The left hand screw for the Hood Box should be places to the left of the top corner of the window at the attachment point of the </w:t>
      </w:r>
      <w:proofErr w:type="spellStart"/>
      <w:r>
        <w:rPr>
          <w:sz w:val="23"/>
          <w:szCs w:val="23"/>
        </w:rPr>
        <w:t>over hang</w:t>
      </w:r>
      <w:proofErr w:type="spellEnd"/>
      <w:r>
        <w:rPr>
          <w:sz w:val="23"/>
          <w:szCs w:val="23"/>
        </w:rPr>
        <w:t xml:space="preserve"> and 180mm higher (the height of the Hood Box). If installing on a brick wall NEVER put the screw into a mortar line. If the position you need to drill is over a mortar line move up to the bottom of the brick above that position. Mark and drill your hole. Insert the wall plug and screw leaving about 15mm of the screw sticking out to hang the Hood box on. </w:t>
      </w:r>
    </w:p>
    <w:p w:rsidR="00E418F2" w:rsidRDefault="00E418F2" w:rsidP="00E418F2">
      <w:pPr>
        <w:pStyle w:val="Default"/>
        <w:rPr>
          <w:sz w:val="23"/>
          <w:szCs w:val="23"/>
        </w:rPr>
      </w:pPr>
      <w:r>
        <w:rPr>
          <w:noProof/>
          <w:sz w:val="23"/>
          <w:szCs w:val="23"/>
          <w:lang w:eastAsia="en-AU"/>
        </w:rPr>
        <w:drawing>
          <wp:inline distT="0" distB="0" distL="0" distR="0">
            <wp:extent cx="6946900" cy="1591472"/>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6900" cy="1591472"/>
                    </a:xfrm>
                    <a:prstGeom prst="rect">
                      <a:avLst/>
                    </a:prstGeom>
                    <a:noFill/>
                    <a:ln>
                      <a:noFill/>
                    </a:ln>
                  </pic:spPr>
                </pic:pic>
              </a:graphicData>
            </a:graphic>
          </wp:inline>
        </w:drawing>
      </w:r>
    </w:p>
    <w:p w:rsidR="00E418F2" w:rsidRDefault="00E418F2" w:rsidP="00E418F2">
      <w:pPr>
        <w:pStyle w:val="Default"/>
        <w:rPr>
          <w:sz w:val="23"/>
          <w:szCs w:val="23"/>
        </w:rPr>
      </w:pPr>
    </w:p>
    <w:p w:rsidR="00E418F2" w:rsidRDefault="00E418F2" w:rsidP="00E418F2">
      <w:pPr>
        <w:pStyle w:val="Default"/>
        <w:rPr>
          <w:sz w:val="23"/>
          <w:szCs w:val="23"/>
        </w:rPr>
      </w:pPr>
      <w:r>
        <w:rPr>
          <w:sz w:val="23"/>
          <w:szCs w:val="23"/>
        </w:rPr>
        <w:t xml:space="preserve">Hang the left tab of the hood box over the screw. Lift the right side of the Hood Box so it is level with the top edge of the window. Mark where the right hand screw will go. Take the Hood Box off the window. Insert your right hand screw, again leaving about 15mm out for the Hood Box to hook onto. Hang the Hood Box on the screws. Fasten the screws tighter. Drill and secure the bottom of the Hood Box each side through either of the lower inside holes that are not on a mortar line. </w:t>
      </w:r>
    </w:p>
    <w:p w:rsidR="00E418F2" w:rsidRDefault="00E418F2" w:rsidP="00E418F2">
      <w:pPr>
        <w:pStyle w:val="Default"/>
        <w:rPr>
          <w:sz w:val="23"/>
          <w:szCs w:val="23"/>
        </w:rPr>
      </w:pPr>
      <w:r>
        <w:rPr>
          <w:noProof/>
          <w:sz w:val="23"/>
          <w:szCs w:val="23"/>
          <w:lang w:eastAsia="en-AU"/>
        </w:rPr>
        <w:drawing>
          <wp:inline distT="0" distB="0" distL="0" distR="0">
            <wp:extent cx="6946900" cy="2168740"/>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6900" cy="2168740"/>
                    </a:xfrm>
                    <a:prstGeom prst="rect">
                      <a:avLst/>
                    </a:prstGeom>
                    <a:noFill/>
                    <a:ln>
                      <a:noFill/>
                    </a:ln>
                  </pic:spPr>
                </pic:pic>
              </a:graphicData>
            </a:graphic>
          </wp:inline>
        </w:drawing>
      </w:r>
    </w:p>
    <w:p w:rsidR="00E418F2" w:rsidRDefault="00E418F2" w:rsidP="00E418F2">
      <w:pPr>
        <w:pStyle w:val="Default"/>
        <w:rPr>
          <w:sz w:val="23"/>
          <w:szCs w:val="23"/>
        </w:rPr>
      </w:pPr>
    </w:p>
    <w:p w:rsidR="00E418F2" w:rsidRDefault="00E418F2" w:rsidP="00E418F2">
      <w:pPr>
        <w:pStyle w:val="Default"/>
        <w:rPr>
          <w:sz w:val="23"/>
          <w:szCs w:val="23"/>
        </w:rPr>
      </w:pPr>
    </w:p>
    <w:p w:rsidR="00E418F2" w:rsidRDefault="00E418F2" w:rsidP="00E418F2">
      <w:pPr>
        <w:pStyle w:val="Default"/>
        <w:rPr>
          <w:sz w:val="23"/>
          <w:szCs w:val="23"/>
        </w:rPr>
      </w:pPr>
      <w:r>
        <w:rPr>
          <w:sz w:val="23"/>
          <w:szCs w:val="23"/>
        </w:rPr>
        <w:lastRenderedPageBreak/>
        <w:t xml:space="preserve">Hold the Guide Arm attached to the Guide Poll up to the top corner of the window. The top of the Guide Arm should be resting 25mm in and 25mm up from the bottom edge of the Hood Box. While holding the Guide Arm in this position, mark the holes for the Guide Pole hanging from the Guide Arm. </w:t>
      </w:r>
    </w:p>
    <w:p w:rsidR="00E418F2" w:rsidRDefault="00E418F2" w:rsidP="00E418F2">
      <w:pPr>
        <w:pStyle w:val="Default"/>
        <w:rPr>
          <w:sz w:val="23"/>
          <w:szCs w:val="23"/>
        </w:rPr>
      </w:pPr>
    </w:p>
    <w:p w:rsidR="00E418F2" w:rsidRDefault="00E418F2" w:rsidP="00E418F2">
      <w:pPr>
        <w:pStyle w:val="Default"/>
        <w:rPr>
          <w:b/>
          <w:bCs/>
          <w:sz w:val="40"/>
          <w:szCs w:val="40"/>
        </w:rPr>
      </w:pPr>
      <w:r>
        <w:rPr>
          <w:b/>
          <w:bCs/>
          <w:sz w:val="40"/>
          <w:szCs w:val="40"/>
        </w:rPr>
        <w:t xml:space="preserve">Fitting Instructions for Automatic Awnings </w:t>
      </w:r>
    </w:p>
    <w:p w:rsidR="00E418F2" w:rsidRDefault="00E418F2" w:rsidP="00E418F2">
      <w:pPr>
        <w:pStyle w:val="Default"/>
        <w:rPr>
          <w:b/>
          <w:bCs/>
          <w:sz w:val="40"/>
          <w:szCs w:val="40"/>
        </w:rPr>
      </w:pPr>
    </w:p>
    <w:p w:rsidR="00E418F2" w:rsidRDefault="00E418F2" w:rsidP="00E418F2">
      <w:pPr>
        <w:pStyle w:val="Default"/>
        <w:rPr>
          <w:b/>
          <w:bCs/>
          <w:sz w:val="40"/>
          <w:szCs w:val="40"/>
        </w:rPr>
      </w:pPr>
    </w:p>
    <w:p w:rsidR="00E418F2" w:rsidRDefault="00E418F2" w:rsidP="00E418F2">
      <w:pPr>
        <w:pStyle w:val="Default"/>
        <w:rPr>
          <w:color w:val="auto"/>
        </w:rPr>
      </w:pPr>
      <w:bookmarkStart w:id="0" w:name="_GoBack"/>
      <w:r>
        <w:rPr>
          <w:noProof/>
          <w:color w:val="auto"/>
          <w:lang w:eastAsia="en-AU"/>
        </w:rPr>
        <w:drawing>
          <wp:inline distT="0" distB="0" distL="0" distR="0">
            <wp:extent cx="6946900" cy="26560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6900" cy="2656027"/>
                    </a:xfrm>
                    <a:prstGeom prst="rect">
                      <a:avLst/>
                    </a:prstGeom>
                    <a:noFill/>
                    <a:ln>
                      <a:noFill/>
                    </a:ln>
                  </pic:spPr>
                </pic:pic>
              </a:graphicData>
            </a:graphic>
          </wp:inline>
        </w:drawing>
      </w:r>
      <w:bookmarkEnd w:id="0"/>
    </w:p>
    <w:p w:rsidR="00E418F2" w:rsidRDefault="00E418F2" w:rsidP="00E418F2">
      <w:pPr>
        <w:pStyle w:val="Default"/>
        <w:rPr>
          <w:color w:val="auto"/>
        </w:rPr>
        <w:sectPr w:rsidR="00E418F2">
          <w:headerReference w:type="default" r:id="rId11"/>
          <w:pgSz w:w="11906" w:h="17338"/>
          <w:pgMar w:top="821" w:right="379" w:bottom="293" w:left="587" w:header="720" w:footer="720" w:gutter="0"/>
          <w:cols w:space="720"/>
          <w:noEndnote/>
        </w:sectPr>
      </w:pPr>
    </w:p>
    <w:p w:rsidR="00E418F2" w:rsidRDefault="00E418F2" w:rsidP="00E418F2">
      <w:pPr>
        <w:pStyle w:val="Default"/>
        <w:rPr>
          <w:color w:val="auto"/>
          <w:sz w:val="23"/>
          <w:szCs w:val="23"/>
        </w:rPr>
      </w:pPr>
    </w:p>
    <w:p w:rsidR="002A00FE" w:rsidRDefault="002A00FE" w:rsidP="00E418F2">
      <w:pPr>
        <w:pStyle w:val="Default"/>
        <w:rPr>
          <w:color w:val="auto"/>
          <w:sz w:val="23"/>
          <w:szCs w:val="23"/>
        </w:rPr>
      </w:pPr>
    </w:p>
    <w:p w:rsidR="002A00FE" w:rsidRDefault="002A00FE" w:rsidP="00E418F2">
      <w:pPr>
        <w:pStyle w:val="Default"/>
        <w:rPr>
          <w:color w:val="auto"/>
          <w:sz w:val="23"/>
          <w:szCs w:val="23"/>
        </w:rPr>
      </w:pPr>
    </w:p>
    <w:p w:rsidR="002A00FE" w:rsidRDefault="002A00FE" w:rsidP="00E418F2">
      <w:pPr>
        <w:pStyle w:val="Default"/>
        <w:rPr>
          <w:color w:val="auto"/>
          <w:sz w:val="23"/>
          <w:szCs w:val="23"/>
        </w:rPr>
      </w:pPr>
    </w:p>
    <w:p w:rsidR="002A00FE" w:rsidRPr="002A00FE" w:rsidRDefault="002A00FE" w:rsidP="002A00FE">
      <w:pPr>
        <w:rPr>
          <w:rFonts w:eastAsiaTheme="minorEastAsia"/>
          <w:noProof/>
          <w:sz w:val="24"/>
          <w:szCs w:val="24"/>
          <w:lang w:val="en-US" w:eastAsia="en-AU"/>
        </w:rPr>
      </w:pPr>
      <w:r w:rsidRPr="002A00FE">
        <w:rPr>
          <w:rFonts w:eastAsiaTheme="minorEastAsia"/>
          <w:noProof/>
          <w:sz w:val="24"/>
          <w:szCs w:val="24"/>
          <w:lang w:val="en-US" w:eastAsia="en-AU"/>
        </w:rPr>
        <w:t>I hope this information addesses your needs. If you require further clarification or additional information, please do not hesitate to contact us at any time on the below number.</w:t>
      </w:r>
    </w:p>
    <w:p w:rsidR="002A00FE" w:rsidRPr="002A00FE" w:rsidRDefault="002A00FE" w:rsidP="002A00FE">
      <w:pPr>
        <w:rPr>
          <w:rFonts w:eastAsiaTheme="minorEastAsia"/>
          <w:noProof/>
          <w:sz w:val="24"/>
          <w:szCs w:val="24"/>
          <w:lang w:val="en-US" w:eastAsia="en-AU"/>
        </w:rPr>
      </w:pPr>
    </w:p>
    <w:p w:rsidR="002A00FE" w:rsidRPr="002A00FE" w:rsidRDefault="002A00FE" w:rsidP="002A00FE">
      <w:pPr>
        <w:rPr>
          <w:rFonts w:eastAsiaTheme="minorEastAsia"/>
          <w:noProof/>
          <w:sz w:val="24"/>
          <w:szCs w:val="24"/>
          <w:lang w:val="en-US" w:eastAsia="en-AU"/>
        </w:rPr>
      </w:pPr>
      <w:r w:rsidRPr="002A00FE">
        <w:rPr>
          <w:rFonts w:eastAsiaTheme="minorEastAsia"/>
          <w:noProof/>
          <w:sz w:val="24"/>
          <w:szCs w:val="24"/>
          <w:lang w:val="en-US" w:eastAsia="en-AU"/>
        </w:rPr>
        <w:t>We look forward to hear from you soon.</w:t>
      </w:r>
    </w:p>
    <w:p w:rsidR="002A00FE" w:rsidRPr="002A00FE" w:rsidRDefault="002A00FE" w:rsidP="002A00FE">
      <w:pPr>
        <w:framePr w:w="3721" w:h="1081" w:hRule="exact" w:wrap="around" w:vAnchor="text" w:hAnchor="text" w:y="7"/>
        <w:spacing w:before="100" w:beforeAutospacing="1" w:after="100" w:afterAutospacing="1"/>
        <w:rPr>
          <w:rFonts w:ascii="Verdana" w:eastAsiaTheme="minorEastAsia" w:hAnsi="Verdana" w:cs="Times New Roman"/>
          <w:noProof/>
          <w:color w:val="0000FF"/>
          <w:sz w:val="21"/>
          <w:szCs w:val="21"/>
          <w:bdr w:val="none" w:sz="0" w:space="0" w:color="auto" w:frame="1"/>
          <w:lang w:eastAsia="en-AU"/>
        </w:rPr>
      </w:pPr>
      <w:r>
        <w:rPr>
          <w:rFonts w:ascii="Verdana" w:eastAsiaTheme="minorEastAsia" w:hAnsi="Verdana" w:cs="Times New Roman"/>
          <w:noProof/>
          <w:color w:val="21B24D"/>
          <w:sz w:val="21"/>
          <w:szCs w:val="21"/>
          <w:lang w:eastAsia="en-AU"/>
        </w:rPr>
        <w:t>E:</w:t>
      </w:r>
      <w:hyperlink r:id="rId12" w:history="1">
        <w:r w:rsidRPr="002A00FE">
          <w:rPr>
            <w:rStyle w:val="Hyperlink"/>
            <w:rFonts w:ascii="Verdana" w:eastAsiaTheme="minorEastAsia" w:hAnsi="Verdana" w:cs="Times New Roman"/>
            <w:noProof/>
            <w:color w:val="0000FF"/>
            <w:sz w:val="21"/>
            <w:szCs w:val="21"/>
            <w:bdr w:val="none" w:sz="0" w:space="0" w:color="auto" w:frame="1"/>
            <w:lang w:eastAsia="en-AU"/>
          </w:rPr>
          <w:t>info@blindsonthenet.com.au</w:t>
        </w:r>
      </w:hyperlink>
    </w:p>
    <w:p w:rsidR="002A00FE" w:rsidRPr="002A00FE" w:rsidRDefault="002A00FE" w:rsidP="002A00FE">
      <w:pPr>
        <w:framePr w:w="3721" w:h="1081" w:hRule="exact" w:wrap="around" w:vAnchor="text" w:hAnchor="text" w:y="7"/>
        <w:spacing w:before="100" w:beforeAutospacing="1" w:after="100" w:afterAutospacing="1"/>
        <w:rPr>
          <w:rFonts w:ascii="Verdana" w:eastAsiaTheme="minorEastAsia" w:hAnsi="Verdana" w:cs="Times New Roman"/>
          <w:noProof/>
          <w:color w:val="0000FF"/>
          <w:sz w:val="21"/>
          <w:szCs w:val="21"/>
          <w:bdr w:val="none" w:sz="0" w:space="0" w:color="auto" w:frame="1"/>
          <w:lang w:eastAsia="en-AU"/>
        </w:rPr>
      </w:pPr>
      <w:r w:rsidRPr="002A00FE">
        <w:rPr>
          <w:rFonts w:ascii="Verdana" w:eastAsiaTheme="minorEastAsia" w:hAnsi="Verdana" w:cs="Times New Roman"/>
          <w:noProof/>
          <w:color w:val="00B050"/>
          <w:sz w:val="21"/>
          <w:szCs w:val="21"/>
          <w:bdr w:val="none" w:sz="0" w:space="0" w:color="auto" w:frame="1"/>
          <w:lang w:eastAsia="en-AU"/>
        </w:rPr>
        <w:t>E:</w:t>
      </w:r>
      <w:r w:rsidRPr="002A00FE">
        <w:rPr>
          <w:rFonts w:ascii="Verdana" w:eastAsiaTheme="minorEastAsia" w:hAnsi="Verdana" w:cs="Times New Roman"/>
          <w:noProof/>
          <w:color w:val="0000FF"/>
          <w:sz w:val="21"/>
          <w:szCs w:val="21"/>
          <w:bdr w:val="none" w:sz="0" w:space="0" w:color="auto" w:frame="1"/>
          <w:lang w:eastAsia="en-AU"/>
        </w:rPr>
        <w:t>www.blindsonthenet.com.au</w:t>
      </w:r>
    </w:p>
    <w:p w:rsidR="002A00FE" w:rsidRPr="00E418F2" w:rsidRDefault="002A00FE" w:rsidP="00E418F2">
      <w:pPr>
        <w:pStyle w:val="Default"/>
        <w:rPr>
          <w:color w:val="auto"/>
          <w:sz w:val="23"/>
          <w:szCs w:val="23"/>
        </w:rPr>
        <w:sectPr w:rsidR="002A00FE" w:rsidRPr="00E418F2">
          <w:type w:val="continuous"/>
          <w:pgSz w:w="11906" w:h="17338"/>
          <w:pgMar w:top="821" w:right="379" w:bottom="293" w:left="587" w:header="720" w:footer="720" w:gutter="0"/>
          <w:cols w:num="2" w:space="720" w:equalWidth="0">
            <w:col w:w="3223" w:space="331"/>
            <w:col w:w="2809"/>
          </w:cols>
          <w:noEndnote/>
        </w:sectPr>
      </w:pPr>
    </w:p>
    <w:p w:rsidR="00E418F2" w:rsidRDefault="00E418F2" w:rsidP="00E418F2">
      <w:pPr>
        <w:pStyle w:val="Default"/>
        <w:rPr>
          <w:color w:val="auto"/>
          <w:sz w:val="23"/>
          <w:szCs w:val="23"/>
        </w:rPr>
      </w:pPr>
      <w:r>
        <w:rPr>
          <w:b/>
          <w:bCs/>
          <w:color w:val="auto"/>
          <w:sz w:val="23"/>
          <w:szCs w:val="23"/>
        </w:rPr>
        <w:lastRenderedPageBreak/>
        <w:t xml:space="preserve">Tension the Roller Pin </w:t>
      </w:r>
    </w:p>
    <w:p w:rsidR="00E418F2" w:rsidRDefault="00E418F2" w:rsidP="00E418F2">
      <w:pPr>
        <w:pStyle w:val="Default"/>
        <w:rPr>
          <w:color w:val="auto"/>
          <w:sz w:val="23"/>
          <w:szCs w:val="23"/>
        </w:rPr>
      </w:pPr>
      <w:r>
        <w:rPr>
          <w:color w:val="auto"/>
          <w:sz w:val="23"/>
          <w:szCs w:val="23"/>
        </w:rPr>
        <w:t xml:space="preserve">Attach a shifter to the Roller Pin. Wind the shifter clockwise to apply tension. Use the size chart to determine how many turns of tension are required. Do NOT let go of the shifter while tensioning as the spring has a lot of force in it. Do NOT try and over tension the spring. When the right amount of tension has been applied, drop the holding tab down and wind the spring back until it engages the pin. </w:t>
      </w:r>
    </w:p>
    <w:p w:rsidR="00E418F2" w:rsidRDefault="00E418F2" w:rsidP="00E418F2">
      <w:pPr>
        <w:pStyle w:val="Default"/>
        <w:rPr>
          <w:color w:val="auto"/>
          <w:sz w:val="23"/>
          <w:szCs w:val="23"/>
        </w:rPr>
      </w:pPr>
    </w:p>
    <w:p w:rsidR="00E418F2" w:rsidRDefault="00E418F2" w:rsidP="00E418F2">
      <w:pPr>
        <w:pStyle w:val="Default"/>
        <w:rPr>
          <w:color w:val="auto"/>
          <w:sz w:val="23"/>
          <w:szCs w:val="23"/>
        </w:rPr>
      </w:pPr>
      <w:r>
        <w:rPr>
          <w:noProof/>
          <w:color w:val="auto"/>
          <w:sz w:val="23"/>
          <w:szCs w:val="23"/>
          <w:lang w:eastAsia="en-AU"/>
        </w:rPr>
        <w:drawing>
          <wp:inline distT="0" distB="0" distL="0" distR="0">
            <wp:extent cx="5731510" cy="159022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590221"/>
                    </a:xfrm>
                    <a:prstGeom prst="rect">
                      <a:avLst/>
                    </a:prstGeom>
                    <a:noFill/>
                    <a:ln>
                      <a:noFill/>
                    </a:ln>
                  </pic:spPr>
                </pic:pic>
              </a:graphicData>
            </a:graphic>
          </wp:inline>
        </w:drawing>
      </w:r>
    </w:p>
    <w:p w:rsidR="00E418F2" w:rsidRDefault="00E418F2" w:rsidP="00E418F2">
      <w:pPr>
        <w:pStyle w:val="Default"/>
        <w:rPr>
          <w:color w:val="auto"/>
          <w:sz w:val="23"/>
          <w:szCs w:val="23"/>
        </w:rPr>
      </w:pPr>
    </w:p>
    <w:p w:rsidR="00E418F2" w:rsidRDefault="00E418F2" w:rsidP="00E418F2">
      <w:pPr>
        <w:pStyle w:val="Default"/>
        <w:rPr>
          <w:color w:val="auto"/>
          <w:sz w:val="23"/>
          <w:szCs w:val="23"/>
        </w:rPr>
      </w:pPr>
    </w:p>
    <w:p w:rsidR="00E418F2" w:rsidRDefault="00E418F2" w:rsidP="00E418F2">
      <w:pPr>
        <w:pStyle w:val="Default"/>
        <w:rPr>
          <w:color w:val="auto"/>
          <w:sz w:val="23"/>
          <w:szCs w:val="23"/>
        </w:rPr>
      </w:pPr>
    </w:p>
    <w:p w:rsidR="00E418F2" w:rsidRDefault="00E418F2" w:rsidP="00E418F2">
      <w:pPr>
        <w:pStyle w:val="Default"/>
        <w:rPr>
          <w:color w:val="auto"/>
          <w:sz w:val="23"/>
          <w:szCs w:val="23"/>
        </w:rPr>
      </w:pPr>
    </w:p>
    <w:p w:rsidR="00E418F2" w:rsidRDefault="00E418F2" w:rsidP="00E418F2">
      <w:pPr>
        <w:pStyle w:val="Default"/>
        <w:rPr>
          <w:color w:val="auto"/>
          <w:sz w:val="23"/>
          <w:szCs w:val="23"/>
        </w:rPr>
      </w:pPr>
      <w:r>
        <w:rPr>
          <w:b/>
          <w:bCs/>
          <w:color w:val="auto"/>
          <w:sz w:val="23"/>
          <w:szCs w:val="23"/>
        </w:rPr>
        <w:t xml:space="preserve">Attach the Cloth to the Hood Box &amp; Guides </w:t>
      </w:r>
    </w:p>
    <w:p w:rsidR="00E418F2" w:rsidRDefault="00E418F2" w:rsidP="00E418F2">
      <w:pPr>
        <w:pStyle w:val="Default"/>
        <w:rPr>
          <w:color w:val="auto"/>
          <w:sz w:val="23"/>
          <w:szCs w:val="23"/>
        </w:rPr>
      </w:pPr>
      <w:r>
        <w:rPr>
          <w:color w:val="auto"/>
          <w:sz w:val="23"/>
          <w:szCs w:val="23"/>
        </w:rPr>
        <w:t xml:space="preserve">Take the plastic cover off the Cloth. Insert the round pin side first. Make sure the pin goes in the hole, not sitting on top of the groove. Drop the spring side into the slot second. </w:t>
      </w:r>
    </w:p>
    <w:p w:rsidR="00E418F2" w:rsidRDefault="00E418F2" w:rsidP="00E418F2">
      <w:pPr>
        <w:pStyle w:val="Default"/>
        <w:rPr>
          <w:color w:val="auto"/>
          <w:sz w:val="23"/>
          <w:szCs w:val="23"/>
        </w:rPr>
      </w:pPr>
      <w:r>
        <w:rPr>
          <w:noProof/>
          <w:color w:val="auto"/>
          <w:sz w:val="23"/>
          <w:szCs w:val="23"/>
          <w:lang w:eastAsia="en-AU"/>
        </w:rPr>
        <w:drawing>
          <wp:inline distT="0" distB="0" distL="0" distR="0">
            <wp:extent cx="5731510" cy="176003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60034"/>
                    </a:xfrm>
                    <a:prstGeom prst="rect">
                      <a:avLst/>
                    </a:prstGeom>
                    <a:noFill/>
                    <a:ln>
                      <a:noFill/>
                    </a:ln>
                  </pic:spPr>
                </pic:pic>
              </a:graphicData>
            </a:graphic>
          </wp:inline>
        </w:drawing>
      </w:r>
    </w:p>
    <w:p w:rsidR="00E418F2" w:rsidRDefault="00E418F2" w:rsidP="00E418F2">
      <w:pPr>
        <w:rPr>
          <w:sz w:val="23"/>
          <w:szCs w:val="23"/>
        </w:rPr>
      </w:pPr>
    </w:p>
    <w:p w:rsidR="00E418F2" w:rsidRDefault="00E418F2" w:rsidP="00E418F2">
      <w:pPr>
        <w:rPr>
          <w:sz w:val="23"/>
          <w:szCs w:val="23"/>
        </w:rPr>
      </w:pPr>
    </w:p>
    <w:p w:rsidR="00E418F2" w:rsidRDefault="00E418F2" w:rsidP="00E418F2">
      <w:pPr>
        <w:rPr>
          <w:sz w:val="23"/>
          <w:szCs w:val="23"/>
        </w:rPr>
      </w:pPr>
    </w:p>
    <w:p w:rsidR="001E7F66" w:rsidRDefault="00E418F2" w:rsidP="00E418F2">
      <w:r>
        <w:rPr>
          <w:sz w:val="23"/>
          <w:szCs w:val="23"/>
        </w:rPr>
        <w:t>Pull the bottom rail down and hold it level with the Guide Arm. Take the grub screw out of the bottom rail and use it to attach the end of the arm to the bottom rail at the point where you took the screw out. When the blind is pulled down it should be even tightness on both sides of the cloth. If one side is tight and the other side is loose the Hood Box is not sitting level. To raise or lower the blind pull down and twist the bottom rail to release the Guide Arms. With the guide arms released you can pull the blind up and down.</w:t>
      </w:r>
    </w:p>
    <w:sectPr w:rsidR="001E7F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0AC" w:rsidRDefault="00B270AC" w:rsidP="002A00FE">
      <w:r>
        <w:separator/>
      </w:r>
    </w:p>
  </w:endnote>
  <w:endnote w:type="continuationSeparator" w:id="0">
    <w:p w:rsidR="00B270AC" w:rsidRDefault="00B270AC" w:rsidP="002A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0AC" w:rsidRDefault="00B270AC" w:rsidP="002A00FE">
      <w:r>
        <w:separator/>
      </w:r>
    </w:p>
  </w:footnote>
  <w:footnote w:type="continuationSeparator" w:id="0">
    <w:p w:rsidR="00B270AC" w:rsidRDefault="00B270AC" w:rsidP="002A0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0FE" w:rsidRPr="002A00FE" w:rsidRDefault="002A00FE">
    <w:pPr>
      <w:pStyle w:val="Header"/>
      <w:rPr>
        <w:color w:val="0000FF"/>
      </w:rPr>
    </w:pPr>
    <w:hyperlink r:id="rId1" w:history="1">
      <w:r w:rsidRPr="002A00FE">
        <w:rPr>
          <w:rStyle w:val="Hyperlink"/>
          <w:color w:val="0000FF"/>
        </w:rPr>
        <w:t>www.blindsonthenet.com.au</w:t>
      </w:r>
    </w:hyperlink>
  </w:p>
  <w:p w:rsidR="002A00FE" w:rsidRPr="002A00FE" w:rsidRDefault="002A00FE">
    <w:pPr>
      <w:pStyle w:val="Header"/>
      <w:rPr>
        <w:color w:val="0000FF"/>
      </w:rPr>
    </w:pPr>
    <w:r w:rsidRPr="002A00FE">
      <w:rPr>
        <w:color w:val="0000FF"/>
      </w:rPr>
      <w:t>Customer Service: 1300 852 912</w:t>
    </w:r>
  </w:p>
  <w:p w:rsidR="002A00FE" w:rsidRDefault="002A00FE">
    <w:pPr>
      <w:pStyle w:val="Header"/>
    </w:pPr>
    <w:r w:rsidRPr="002A00FE">
      <w:rPr>
        <w:color w:val="0000FF"/>
      </w:rPr>
      <w:t xml:space="preserve">Direct link: </w:t>
    </w:r>
    <w:hyperlink r:id="rId2" w:history="1">
      <w:r w:rsidRPr="002A00FE">
        <w:rPr>
          <w:rStyle w:val="Hyperlink"/>
          <w:color w:val="0000FF"/>
        </w:rPr>
        <w:t>https://www.blindsonthenet.com.au/products/auto-spring-awnings/</w:t>
      </w:r>
    </w:hyperlink>
    <w:r>
      <w:t xml:space="preserve"> </w:t>
    </w:r>
  </w:p>
  <w:p w:rsidR="002A00FE" w:rsidRDefault="002A00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8F2"/>
    <w:rsid w:val="001E7F66"/>
    <w:rsid w:val="002A00FE"/>
    <w:rsid w:val="00B270AC"/>
    <w:rsid w:val="00E418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0F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18F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18F2"/>
    <w:rPr>
      <w:rFonts w:ascii="Tahoma" w:hAnsi="Tahoma" w:cs="Tahoma"/>
      <w:sz w:val="16"/>
      <w:szCs w:val="16"/>
    </w:rPr>
  </w:style>
  <w:style w:type="character" w:customStyle="1" w:styleId="BalloonTextChar">
    <w:name w:val="Balloon Text Char"/>
    <w:basedOn w:val="DefaultParagraphFont"/>
    <w:link w:val="BalloonText"/>
    <w:uiPriority w:val="99"/>
    <w:semiHidden/>
    <w:rsid w:val="00E418F2"/>
    <w:rPr>
      <w:rFonts w:ascii="Tahoma" w:hAnsi="Tahoma" w:cs="Tahoma"/>
      <w:sz w:val="16"/>
      <w:szCs w:val="16"/>
    </w:rPr>
  </w:style>
  <w:style w:type="paragraph" w:styleId="Header">
    <w:name w:val="header"/>
    <w:basedOn w:val="Normal"/>
    <w:link w:val="HeaderChar"/>
    <w:uiPriority w:val="99"/>
    <w:unhideWhenUsed/>
    <w:rsid w:val="002A00FE"/>
    <w:pPr>
      <w:tabs>
        <w:tab w:val="center" w:pos="4513"/>
        <w:tab w:val="right" w:pos="9026"/>
      </w:tabs>
    </w:pPr>
  </w:style>
  <w:style w:type="character" w:customStyle="1" w:styleId="HeaderChar">
    <w:name w:val="Header Char"/>
    <w:basedOn w:val="DefaultParagraphFont"/>
    <w:link w:val="Header"/>
    <w:uiPriority w:val="99"/>
    <w:rsid w:val="002A00FE"/>
  </w:style>
  <w:style w:type="paragraph" w:styleId="Footer">
    <w:name w:val="footer"/>
    <w:basedOn w:val="Normal"/>
    <w:link w:val="FooterChar"/>
    <w:uiPriority w:val="99"/>
    <w:unhideWhenUsed/>
    <w:rsid w:val="002A00FE"/>
    <w:pPr>
      <w:tabs>
        <w:tab w:val="center" w:pos="4513"/>
        <w:tab w:val="right" w:pos="9026"/>
      </w:tabs>
    </w:pPr>
  </w:style>
  <w:style w:type="character" w:customStyle="1" w:styleId="FooterChar">
    <w:name w:val="Footer Char"/>
    <w:basedOn w:val="DefaultParagraphFont"/>
    <w:link w:val="Footer"/>
    <w:uiPriority w:val="99"/>
    <w:rsid w:val="002A00FE"/>
  </w:style>
  <w:style w:type="character" w:styleId="Hyperlink">
    <w:name w:val="Hyperlink"/>
    <w:basedOn w:val="DefaultParagraphFont"/>
    <w:uiPriority w:val="99"/>
    <w:unhideWhenUsed/>
    <w:rsid w:val="002A00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0F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18F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418F2"/>
    <w:rPr>
      <w:rFonts w:ascii="Tahoma" w:hAnsi="Tahoma" w:cs="Tahoma"/>
      <w:sz w:val="16"/>
      <w:szCs w:val="16"/>
    </w:rPr>
  </w:style>
  <w:style w:type="character" w:customStyle="1" w:styleId="BalloonTextChar">
    <w:name w:val="Balloon Text Char"/>
    <w:basedOn w:val="DefaultParagraphFont"/>
    <w:link w:val="BalloonText"/>
    <w:uiPriority w:val="99"/>
    <w:semiHidden/>
    <w:rsid w:val="00E418F2"/>
    <w:rPr>
      <w:rFonts w:ascii="Tahoma" w:hAnsi="Tahoma" w:cs="Tahoma"/>
      <w:sz w:val="16"/>
      <w:szCs w:val="16"/>
    </w:rPr>
  </w:style>
  <w:style w:type="paragraph" w:styleId="Header">
    <w:name w:val="header"/>
    <w:basedOn w:val="Normal"/>
    <w:link w:val="HeaderChar"/>
    <w:uiPriority w:val="99"/>
    <w:unhideWhenUsed/>
    <w:rsid w:val="002A00FE"/>
    <w:pPr>
      <w:tabs>
        <w:tab w:val="center" w:pos="4513"/>
        <w:tab w:val="right" w:pos="9026"/>
      </w:tabs>
    </w:pPr>
  </w:style>
  <w:style w:type="character" w:customStyle="1" w:styleId="HeaderChar">
    <w:name w:val="Header Char"/>
    <w:basedOn w:val="DefaultParagraphFont"/>
    <w:link w:val="Header"/>
    <w:uiPriority w:val="99"/>
    <w:rsid w:val="002A00FE"/>
  </w:style>
  <w:style w:type="paragraph" w:styleId="Footer">
    <w:name w:val="footer"/>
    <w:basedOn w:val="Normal"/>
    <w:link w:val="FooterChar"/>
    <w:uiPriority w:val="99"/>
    <w:unhideWhenUsed/>
    <w:rsid w:val="002A00FE"/>
    <w:pPr>
      <w:tabs>
        <w:tab w:val="center" w:pos="4513"/>
        <w:tab w:val="right" w:pos="9026"/>
      </w:tabs>
    </w:pPr>
  </w:style>
  <w:style w:type="character" w:customStyle="1" w:styleId="FooterChar">
    <w:name w:val="Footer Char"/>
    <w:basedOn w:val="DefaultParagraphFont"/>
    <w:link w:val="Footer"/>
    <w:uiPriority w:val="99"/>
    <w:rsid w:val="002A00FE"/>
  </w:style>
  <w:style w:type="character" w:styleId="Hyperlink">
    <w:name w:val="Hyperlink"/>
    <w:basedOn w:val="DefaultParagraphFont"/>
    <w:uiPriority w:val="99"/>
    <w:unhideWhenUsed/>
    <w:rsid w:val="002A0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217176">
      <w:bodyDiv w:val="1"/>
      <w:marLeft w:val="0"/>
      <w:marRight w:val="0"/>
      <w:marTop w:val="0"/>
      <w:marBottom w:val="0"/>
      <w:divBdr>
        <w:top w:val="none" w:sz="0" w:space="0" w:color="auto"/>
        <w:left w:val="none" w:sz="0" w:space="0" w:color="auto"/>
        <w:bottom w:val="none" w:sz="0" w:space="0" w:color="auto"/>
        <w:right w:val="none" w:sz="0" w:space="0" w:color="auto"/>
      </w:divBdr>
    </w:div>
    <w:div w:id="158946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info@blindsonthenet.com.au"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hyperlink" Target="https://www.blindsonthenet.com.au/products/auto-spring-awnings/" TargetMode="External"/><Relationship Id="rId1" Type="http://schemas.openxmlformats.org/officeDocument/2006/relationships/hyperlink" Target="http://www.blindsonthene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Gilbert</dc:creator>
  <cp:lastModifiedBy>Vincent Gilbert</cp:lastModifiedBy>
  <cp:revision>1</cp:revision>
  <dcterms:created xsi:type="dcterms:W3CDTF">2021-06-01T00:59:00Z</dcterms:created>
  <dcterms:modified xsi:type="dcterms:W3CDTF">2021-06-01T01:19:00Z</dcterms:modified>
</cp:coreProperties>
</file>